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3427095</wp:posOffset>
                </wp:positionH>
                <wp:positionV relativeFrom="page">
                  <wp:posOffset>3728720</wp:posOffset>
                </wp:positionV>
                <wp:extent cx="629920" cy="45624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8" w:line="180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36"/>
                                <w:sz w:val="72"/>
                                <w:szCs w:val="72"/>
                              </w:rPr>
                              <w:t>实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31"/>
                                <w:sz w:val="72"/>
                                <w:szCs w:val="72"/>
                              </w:rPr>
                              <w:t xml:space="preserve">  施  方  案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85pt;margin-top:293.6pt;height:359.25pt;width:49.6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V4ml2QAAAAwBAAAPAAAAAAAAAAEAIAAAACIAAABkcnMvZG93&#10;bnJldi54bWxQSwECFAAUAAAACACHTuJAWrZmC8YBAACOAwAADgAAAAAAAAABACAAAAAoAQAAZHJz&#10;L2Uyb0RvYy54bWxQSwUGAAAAAAYABgBZAQAAYAUAAAAA&#10;">
                <v:path/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18" w:line="180" w:lineRule="auto"/>
                        <w:ind w:left="20"/>
                        <w:rPr>
                          <w:rFonts w:ascii="微软雅黑" w:hAnsi="微软雅黑" w:eastAsia="微软雅黑" w:cs="微软雅黑"/>
                          <w:sz w:val="72"/>
                          <w:szCs w:val="7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36"/>
                          <w:sz w:val="72"/>
                          <w:szCs w:val="72"/>
                        </w:rPr>
                        <w:t>实</w:t>
                      </w:r>
                      <w:r>
                        <w:rPr>
                          <w:rFonts w:ascii="微软雅黑" w:hAnsi="微软雅黑" w:eastAsia="微软雅黑" w:cs="微软雅黑"/>
                          <w:spacing w:val="31"/>
                          <w:sz w:val="72"/>
                          <w:szCs w:val="72"/>
                        </w:rPr>
                        <w:t xml:space="preserve">  施  方  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eastAsia="zh-CN"/>
        </w:rPr>
        <w:t>附件2</w:t>
      </w:r>
    </w:p>
    <w:p>
      <w:pPr>
        <w:spacing w:line="266" w:lineRule="auto"/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eastAsia="zh-CN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206" w:line="184" w:lineRule="auto"/>
        <w:ind w:left="1032"/>
        <w:rPr>
          <w:rFonts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1"/>
          <w:sz w:val="48"/>
          <w:szCs w:val="48"/>
          <w:lang w:eastAsia="zh-CN"/>
        </w:rPr>
        <w:t>嘉兴市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重点农</w:t>
      </w:r>
      <w:r>
        <w:rPr>
          <w:rFonts w:ascii="微软雅黑" w:hAnsi="微软雅黑" w:eastAsia="微软雅黑" w:cs="微软雅黑"/>
          <w:sz w:val="48"/>
          <w:szCs w:val="48"/>
        </w:rPr>
        <w:t>业企业研究院建设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06"/>
        </w:tabs>
        <w:bidi w:val="0"/>
        <w:jc w:val="left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拟申请研究院名称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</w:t>
      </w:r>
    </w:p>
    <w:p>
      <w:pPr>
        <w:tabs>
          <w:tab w:val="left" w:pos="506"/>
        </w:tabs>
        <w:bidi w:val="0"/>
        <w:jc w:val="left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506"/>
        </w:tabs>
        <w:bidi w:val="0"/>
        <w:ind w:firstLine="624" w:firstLineChars="200"/>
        <w:jc w:val="left"/>
        <w:rPr>
          <w:rFonts w:hint="default" w:ascii="仿宋" w:hAnsi="仿宋" w:eastAsia="仿宋" w:cs="仿宋"/>
          <w:spacing w:val="-4"/>
          <w:sz w:val="32"/>
          <w:szCs w:val="32"/>
          <w:lang w:val="en-US" w:eastAsia="zh-CN"/>
        </w:rPr>
        <w:sectPr>
          <w:footerReference r:id="rId3" w:type="default"/>
          <w:pgSz w:w="11905" w:h="16840"/>
          <w:pgMar w:top="1431" w:right="1785" w:bottom="1458" w:left="1622" w:header="0" w:footer="1097" w:gutter="0"/>
          <w:cols w:space="720" w:num="1"/>
        </w:sect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主  办  单  位  </w:t>
      </w:r>
      <w:r>
        <w:rPr>
          <w:rFonts w:hint="eastAsia" w:ascii="仿宋" w:hAnsi="仿宋" w:eastAsia="仿宋" w:cs="仿宋"/>
          <w:spacing w:val="-4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      </w:t>
      </w:r>
    </w:p>
    <w:p>
      <w:pPr>
        <w:spacing w:before="104" w:line="219" w:lineRule="auto"/>
        <w:ind w:firstLine="2828" w:firstLineChars="7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</w:rPr>
        <w:t>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8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</w:rPr>
        <w:t>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</w:rPr>
        <w:t>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4"/>
          <w:sz w:val="44"/>
          <w:szCs w:val="44"/>
        </w:rPr>
        <w:t>纲</w:t>
      </w:r>
    </w:p>
    <w:p>
      <w:pPr>
        <w:spacing w:before="219" w:line="218" w:lineRule="auto"/>
        <w:ind w:left="6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</w:t>
      </w:r>
      <w:r>
        <w:rPr>
          <w:rFonts w:ascii="黑体" w:hAnsi="黑体" w:eastAsia="黑体" w:cs="黑体"/>
          <w:spacing w:val="-1"/>
          <w:sz w:val="32"/>
          <w:szCs w:val="32"/>
        </w:rPr>
        <w:t>重点农业企业研究院建设背景和意义</w:t>
      </w:r>
    </w:p>
    <w:p>
      <w:pPr>
        <w:spacing w:before="222" w:line="218" w:lineRule="auto"/>
        <w:ind w:left="648"/>
        <w:rPr>
          <w:rFonts w:ascii="黑体" w:hAnsi="黑体" w:eastAsia="黑体" w:cs="黑体"/>
          <w:spacing w:val="-2"/>
          <w:sz w:val="32"/>
          <w:szCs w:val="32"/>
        </w:rPr>
      </w:pPr>
    </w:p>
    <w:p>
      <w:pPr>
        <w:spacing w:before="222" w:line="218" w:lineRule="auto"/>
        <w:ind w:left="64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</w:t>
      </w:r>
      <w:r>
        <w:rPr>
          <w:rFonts w:ascii="黑体" w:hAnsi="黑体" w:eastAsia="黑体" w:cs="黑体"/>
          <w:spacing w:val="-1"/>
          <w:sz w:val="32"/>
          <w:szCs w:val="32"/>
        </w:rPr>
        <w:t>、重点农业企业研究院建设的基础条件</w:t>
      </w:r>
    </w:p>
    <w:p>
      <w:pPr>
        <w:spacing w:before="223" w:line="346" w:lineRule="auto"/>
        <w:ind w:left="7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包括组</w:t>
      </w:r>
      <w:r>
        <w:rPr>
          <w:rFonts w:ascii="仿宋" w:hAnsi="仿宋" w:eastAsia="仿宋" w:cs="仿宋"/>
          <w:spacing w:val="-5"/>
          <w:sz w:val="32"/>
          <w:szCs w:val="32"/>
        </w:rPr>
        <w:t>织</w:t>
      </w:r>
      <w:r>
        <w:rPr>
          <w:rFonts w:ascii="仿宋" w:hAnsi="仿宋" w:eastAsia="仿宋" w:cs="仿宋"/>
          <w:spacing w:val="-4"/>
          <w:sz w:val="32"/>
          <w:szCs w:val="32"/>
        </w:rPr>
        <w:t>架构、研发团队和人员、场地、科研设备、知识产</w:t>
      </w:r>
      <w:r>
        <w:rPr>
          <w:rFonts w:ascii="仿宋" w:hAnsi="仿宋" w:eastAsia="仿宋" w:cs="仿宋"/>
          <w:spacing w:val="-11"/>
          <w:sz w:val="32"/>
          <w:szCs w:val="32"/>
        </w:rPr>
        <w:t>权</w:t>
      </w:r>
      <w:r>
        <w:rPr>
          <w:rFonts w:ascii="仿宋" w:hAnsi="仿宋" w:eastAsia="仿宋" w:cs="仿宋"/>
          <w:spacing w:val="-9"/>
          <w:sz w:val="32"/>
          <w:szCs w:val="32"/>
        </w:rPr>
        <w:t>、制度建设等。</w:t>
      </w:r>
    </w:p>
    <w:p>
      <w:pPr>
        <w:spacing w:line="218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三、重点农业</w:t>
      </w:r>
      <w:r>
        <w:rPr>
          <w:rFonts w:ascii="黑体" w:hAnsi="黑体" w:eastAsia="黑体" w:cs="黑体"/>
          <w:spacing w:val="-1"/>
          <w:sz w:val="32"/>
          <w:szCs w:val="32"/>
        </w:rPr>
        <w:t>企业研究院建设目标</w:t>
      </w:r>
    </w:p>
    <w:p>
      <w:pPr>
        <w:spacing w:before="222" w:line="346" w:lineRule="auto"/>
        <w:ind w:left="9" w:right="1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包括今</w:t>
      </w:r>
      <w:r>
        <w:rPr>
          <w:rFonts w:ascii="仿宋" w:hAnsi="仿宋" w:eastAsia="仿宋" w:cs="仿宋"/>
          <w:spacing w:val="-7"/>
          <w:sz w:val="32"/>
          <w:szCs w:val="32"/>
        </w:rPr>
        <w:t>后</w:t>
      </w:r>
      <w:r>
        <w:rPr>
          <w:rFonts w:ascii="仿宋" w:hAnsi="仿宋" w:eastAsia="仿宋" w:cs="仿宋"/>
          <w:spacing w:val="-4"/>
          <w:sz w:val="32"/>
          <w:szCs w:val="32"/>
        </w:rPr>
        <w:t>三年研究院在研发及成果转化能力建设情况、研发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绩效及行业贡献情况、研发人才及团队情况、科研条件及装备</w:t>
      </w:r>
      <w:r>
        <w:rPr>
          <w:rFonts w:ascii="仿宋" w:hAnsi="仿宋" w:eastAsia="仿宋" w:cs="仿宋"/>
          <w:spacing w:val="-4"/>
          <w:sz w:val="32"/>
          <w:szCs w:val="32"/>
        </w:rPr>
        <w:t>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况等方</w:t>
      </w:r>
      <w:r>
        <w:rPr>
          <w:rFonts w:ascii="仿宋" w:hAnsi="仿宋" w:eastAsia="仿宋" w:cs="仿宋"/>
          <w:spacing w:val="-4"/>
          <w:sz w:val="32"/>
          <w:szCs w:val="32"/>
        </w:rPr>
        <w:t>面</w:t>
      </w:r>
      <w:r>
        <w:rPr>
          <w:rFonts w:ascii="仿宋" w:hAnsi="仿宋" w:eastAsia="仿宋" w:cs="仿宋"/>
          <w:spacing w:val="-3"/>
          <w:sz w:val="32"/>
          <w:szCs w:val="32"/>
        </w:rPr>
        <w:t>的分年度指标提升目标，定性与定量相结合。</w:t>
      </w:r>
    </w:p>
    <w:p>
      <w:pPr>
        <w:spacing w:before="2" w:line="219" w:lineRule="auto"/>
        <w:ind w:left="66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四、保障措</w:t>
      </w:r>
      <w:r>
        <w:rPr>
          <w:rFonts w:ascii="黑体" w:hAnsi="黑体" w:eastAsia="黑体" w:cs="黑体"/>
          <w:spacing w:val="-4"/>
          <w:sz w:val="32"/>
          <w:szCs w:val="32"/>
        </w:rPr>
        <w:t>施</w:t>
      </w:r>
    </w:p>
    <w:p>
      <w:pPr>
        <w:spacing w:before="219" w:line="346" w:lineRule="auto"/>
        <w:ind w:right="1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包括完</w:t>
      </w:r>
      <w:r>
        <w:rPr>
          <w:rFonts w:ascii="仿宋" w:hAnsi="仿宋" w:eastAsia="仿宋" w:cs="仿宋"/>
          <w:spacing w:val="-6"/>
          <w:sz w:val="32"/>
          <w:szCs w:val="32"/>
        </w:rPr>
        <w:t>成</w:t>
      </w:r>
      <w:r>
        <w:rPr>
          <w:rFonts w:ascii="仿宋" w:hAnsi="仿宋" w:eastAsia="仿宋" w:cs="仿宋"/>
          <w:spacing w:val="-4"/>
          <w:sz w:val="32"/>
          <w:szCs w:val="32"/>
        </w:rPr>
        <w:t>建设目标的今后三年组织架构、科研条件、人才队</w:t>
      </w:r>
      <w:r>
        <w:rPr>
          <w:rFonts w:ascii="仿宋" w:hAnsi="仿宋" w:eastAsia="仿宋" w:cs="仿宋"/>
          <w:spacing w:val="-6"/>
          <w:sz w:val="32"/>
          <w:szCs w:val="32"/>
        </w:rPr>
        <w:t>伍、</w:t>
      </w:r>
      <w:r>
        <w:rPr>
          <w:rFonts w:ascii="仿宋" w:hAnsi="仿宋" w:eastAsia="仿宋" w:cs="仿宋"/>
          <w:spacing w:val="-5"/>
          <w:sz w:val="32"/>
          <w:szCs w:val="32"/>
        </w:rPr>
        <w:t>资</w:t>
      </w:r>
      <w:r>
        <w:rPr>
          <w:rFonts w:ascii="仿宋" w:hAnsi="仿宋" w:eastAsia="仿宋" w:cs="仿宋"/>
          <w:spacing w:val="-3"/>
          <w:sz w:val="32"/>
          <w:szCs w:val="32"/>
        </w:rPr>
        <w:t>金投入、制度建设、运行机制等发展规划。</w:t>
      </w:r>
    </w:p>
    <w:p>
      <w:pPr>
        <w:spacing w:before="1" w:line="218" w:lineRule="auto"/>
        <w:ind w:left="6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五、当地政府支持举措</w:t>
      </w:r>
    </w:p>
    <w:p>
      <w:pPr>
        <w:spacing w:before="219" w:line="354" w:lineRule="auto"/>
        <w:ind w:left="3" w:right="1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包</w:t>
      </w:r>
      <w:r>
        <w:rPr>
          <w:rFonts w:ascii="仿宋" w:hAnsi="仿宋" w:eastAsia="仿宋" w:cs="仿宋"/>
          <w:spacing w:val="-10"/>
          <w:sz w:val="32"/>
          <w:szCs w:val="32"/>
        </w:rPr>
        <w:t>括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市</w:t>
      </w:r>
      <w:r>
        <w:rPr>
          <w:rFonts w:ascii="仿宋" w:hAnsi="仿宋" w:eastAsia="仿宋" w:cs="仿宋"/>
          <w:spacing w:val="-10"/>
          <w:sz w:val="32"/>
          <w:szCs w:val="32"/>
        </w:rPr>
        <w:t>级重点农业企业研究院申报与创建过程中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，各县（市、区）</w:t>
      </w:r>
      <w:r>
        <w:rPr>
          <w:rFonts w:ascii="仿宋" w:hAnsi="仿宋" w:eastAsia="仿宋" w:cs="仿宋"/>
          <w:spacing w:val="-10"/>
          <w:sz w:val="32"/>
          <w:szCs w:val="32"/>
        </w:rPr>
        <w:t>政府</w:t>
      </w:r>
      <w:r>
        <w:rPr>
          <w:rFonts w:ascii="仿宋" w:hAnsi="仿宋" w:eastAsia="仿宋" w:cs="仿宋"/>
          <w:spacing w:val="-4"/>
          <w:sz w:val="32"/>
          <w:szCs w:val="32"/>
        </w:rPr>
        <w:t>在项目、科研条件、人才及政策方面的扶持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pacing w:val="-1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10"/>
          <w:kern w:val="2"/>
          <w:sz w:val="32"/>
          <w:szCs w:val="32"/>
          <w:lang w:val="en-US" w:eastAsia="zh-CN" w:bidi="ar-SA"/>
        </w:rPr>
        <w:t>注：实施方案正文部分不少于3000字，其中建设目标、保障措施、政府支持举措等内容的文字总数不少于2000字。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cgsc0BAACp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UvOnLD04pefPy6//lx+f2cU&#10;I4F6jxXV3XuqjMM7GKh4jiMFE++hDTZ9iRGjPMl7vsqrhshkurRerdclpSTlZofwi4frPmB8r8Cy&#10;ZNQ80PtlWcXpI8axdC5J3RzcaWPyGxr3T4Awx4jKSzDdTkzGiZMVh/0w0dtDcyZ2PS1CzR3tPWfm&#10;gyOd087MRpiN/WwcfdCHLi9V6o7+9hhppDxp6jDCEsPk0AtmrtO2pRV57Oeqhz9s+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gcgsc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70EA5"/>
    <w:multiLevelType w:val="singleLevel"/>
    <w:tmpl w:val="17570EA5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mViYmI0MjJlOWU4YzZkODk1ZmUyZmVhMDg5OTEifQ=="/>
  </w:docVars>
  <w:rsids>
    <w:rsidRoot w:val="1A103434"/>
    <w:rsid w:val="1A1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2023-02-22T07:48:00Z</dcterms:created>
  <dc:creator>teny</dc:creator>
  <cp:lastModifiedBy>teny</cp:lastModifiedBy>
  <dcterms:modified xsi:type="dcterms:W3CDTF">2023-02-22T07:48:57Z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91798BFB87D941B2B460E288FA537461</vt:lpwstr>
  </property>
</Properties>
</file>